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481</w:t>
      </w:r>
    </w:p>
    <w:p>
      <w:r>
        <w:t>Bundesgericht (BGE), 1999-10-13, FR</w:t>
      </w:r>
    </w:p>
    <w:p>
      <w:r>
        <w:rPr>
          <w:b/>
        </w:rPr>
        <w:t xml:space="preserve">Quelle: </w:t>
      </w:r>
      <w:r>
        <w:t>https://mcp.opencaselaw.ch/entscheid/bge_137 III 481</w:t>
      </w:r>
    </w:p>
    <w:p>
      <w:r>
        <w:t>FR: ATF 137 III 481</w:t>
      </w:r>
    </w:p>
    <w:p>
      <w:r>
        <w:t>IT: DTF 137 III 481</w:t>
      </w:r>
    </w:p>
    <w:p>
      <w:pPr>
        <w:pStyle w:val="Heading2"/>
      </w:pPr>
      <w:r>
        <w:t>Regeste</w:t>
      </w:r>
    </w:p>
    <w:p>
      <w:r>
        <w:t>Regeste Schadenersatzklage aus einem durch ein Fahrzeug verursachten Unfall; längere strafrechtliche Verjährung (Art. 83 Abs. 1 SVG und Art. 60 Abs. 2 OR). Hat sich der Inhalt der strafrechtlichen Bestimmungen seit dem Unfall geändert, bestimmt sich nach den strafrechtlichen Regeln, auf welche Version abzustellen ist, um die Dauer der im Zivilrecht anwendbaren längeren strafrechtlichen Verjährung festzusetzen (E. 2).</w:t>
      </w:r>
    </w:p>
    <w:p>
      <w:pPr>
        <w:pStyle w:val="Heading2"/>
      </w:pPr>
      <w:r>
        <w:t>Erwägungen</w:t>
      </w:r>
    </w:p>
    <w:p>
      <w:r>
        <w:rPr>
          <w:b/>
        </w:rPr>
        <w:t>E. 2.1</w:t>
      </w:r>
    </w:p>
    <w:p>
      <w:r>
        <w:t>En raison du domicile à l'étranger de l'intimée, l'affaire revêt un caractère international ( ATF 131 III 76 consid. 2). Saisi d'un recours en matière civile, le Tribunal fédéral doit contrôler d'office la question du droit applicable, laquelle se résout selon la loi du for, soit en l'occurrence la loi fédérale du 18 décembre 1987 sur le droit international privé (LDIP; RS 291; ATF 135 III 259 consid. 2.1 p. 261; ATF 133 III 37 consid. 2, ATF 133 III 323 consid. 2.1). En vertu de l' art. 134 LDIP , norme qui renvoie à l'art. 3 de la Convention de La Haye du 4 mai 1971 sur la loi applicable en matière d'accidents de la circulation routière (RS 0.741.31), le droit interne suisse est applicable en l'espèce, en tant que loi du lieu de l'accident.</w:t>
      </w:r>
    </w:p>
    <w:p>
      <w:r>
        <w:rPr>
          <w:b/>
        </w:rPr>
        <w:t>E. 2.2</w:t>
      </w:r>
    </w:p>
    <w:p>
      <w:r>
        <w:t>L'action en dommages-intérêts et en réparation du tort moral introduite par l'intimée relève entièrement du droit fédéral. En conséquence, le Tribunal fédéral applique le droit d'office et réexamine librement la question juridique posée ( art. 106 al. 1 LTF ).</w:t>
      </w:r>
    </w:p>
    <w:p>
      <w:r>
        <w:rPr>
          <w:b/>
        </w:rPr>
        <w:t>E. 2.3</w:t>
      </w:r>
    </w:p>
    <w:p>
      <w:r>
        <w:t>Selon l'art. 83 al. 1 de la loi fédérale du 19 décembre 1958 sur la circulation routière (LCR; RS 741.01), les actions en dommages-intérêts et en réparation du tort moral qui découlent d'accidents causés par des véhicules automobiles ou des cycles se prescrivent par deux ans à partir du jour où le lésé a eu connaissance du dommage et de la personne qui en est responsable, mais en tout cas par dix ans dès le jour de l'accident. Toutefois, si les dommages-intérêts dérivent d'un acte punissable soumis par les lois pénales à une prescription de plus longue durée, cette prescription s'applique à l'action civile. BGE 137 III 481 S. 484 En prévoyant l'application de la prescription pénale si elle est de plus longue durée, le législateur a voulu éviter que le lésé ne puisse plus agir contre le responsable à un moment où celui-ci pourrait encore faire l'objet d'une procédure pénale dont les conséquences sont en principe plus lourdes pour lui ( ATF 136 III 502 consid. 6.1 p. 503; ATF 131 III 430 consid. 1.2 p. 433; ATF 127 III 538 consid. 4c p. 541; ATF 125 III 339 consid. 3a p. 340). La prescription pénale plus longue doit aussi être appliquée à l'action que le lésé a le droit d'intenter directement à l'assureur en responsabilité civile de l'auteur de l'infraction, en vertu de l' art. 65 al. 1 LCR ( ATF 112 II 79 consid. 3c p. 82 s.). Lorsque la prescription est interrompue à l'égard de la personne responsable, elle l'est aussi à l'égard de l'assureur, et vice versa ( art. 83 al. 2 LCR ). Pour le reste - c'est-à-dire notamment la question de l'interruption et de la suspension de la prescription -, le code des obligations est applicable ( art. 83 al. 4 LCR ).</w:t>
      </w:r>
    </w:p>
    <w:p>
      <w:r>
        <w:rPr>
          <w:b/>
        </w:rPr>
        <w:t>E. 2.4</w:t>
      </w:r>
    </w:p>
    <w:p>
      <w:r>
        <w:t>Pour que la prescription pénale entre en considération en vertu de l' art. 83 al. 1 LCR (ou de l' art. 60 al. 2 CO qui est identique sur ce point), il faut que les prétentions civiles résultent, avec causalité naturelle et adéquate, d'un comportement du responsable qui constitue, d'un point de vue objectif et subjectif, une infraction pénale prévue par une norme ayant notamment pour but de protéger le lésé; pour dire s'il y a ou non une infraction pénale, le juge civil est lié par une condamnation ou une décision libératoire prononcée au pénal ( ATF 136 III 502 consid. 6.1 p. 503). En l'espèce, toutes les prétentions de l'intimée découlent de l'accident causé par la faute de l'automobiliste dont le comportement a été qualifié, par un jugement pénal entré en force, d'homicide par négligence ( art. 117 CP ) et de lésions corporelles graves par négligence ( art. 125 CP ). Il faut donc examiner s'il y a lieu d'appliquer le délai de prescription prévu par le droit pénal.</w:t>
      </w:r>
    </w:p>
    <w:p>
      <w:r>
        <w:rPr>
          <w:b/>
        </w:rPr>
        <w:t>E. 2.5</w:t>
      </w:r>
    </w:p>
    <w:p>
      <w:r>
        <w:t>Pour dire si le délai de prescription est plus long au pénal qu'au civil, il faut prendre en considération la prescription relative du droit pénal, et non pas la prescription absolue ( ATF 100 II 339 consid. 1b p. 342). Même si l'on parvient à la conclusion qu'il faut appliquer le délai de la prescription pénale, celui-ci est peut-être interrompu selon les BGE 137 III 481 S. 485 règles du droit civil ( ATF 100 II 339 consid. 1b p. 342). Autrement dit, la prescription de l'action civile, dans son mécanisme, est entièrement régie par le droit privé; cela vaut notamment pour déterminer les actes interruptifs de la prescription et les effets d'une interruption; le droit pénal n'intervient que pour substituer au délai prévu par le droit civil le délai plus long découlant du droit pénal. En conséquence, pour connaître les actes qui peuvent interrompre la prescription, il faut se référer aux art. 135 et 138 CO . Lorsque la prescription a été interrompue, un nouveau délai commence à courir dès l'interruption ( art. 137 al. 1 CO ). Lorsque le délai de la prescription pénale est applicable, son interruption fait courir à nouveau le délai de la prescription pénale, quand bien même la prescription pénale absolue interviendrait dans ce nouveau délai ( ATF 131 III 430 consid. 1.2 p. 434 let. d; ATF 127 III 538 consid. 4d p. 542). En revanche, lorsque la prescription pénale absolue est atteinte, un acte interruptif ultérieur ne peut faire courir que le délai prévu par le droit civil ( ATF 131 III 430 consid. 1.3 et 1.4 p. 435).</w:t>
      </w:r>
    </w:p>
    <w:p>
      <w:r>
        <w:rPr>
          <w:b/>
        </w:rPr>
        <w:t>E. 2.6</w:t>
      </w:r>
    </w:p>
    <w:p>
      <w:r>
        <w:t>Au moment de l'accident, les deux infractions pénales retenues (l'homicide par négligence au sens de l' art. 117 CP et les lésions corporelles graves par négligence au sens de l' art. 125 CP ) étaient passibles de l'emprisonnement - d'une durée maximum de trois ans ( art. 36 CP ) - ou de l'amende. Il en résultait que le délai de la prescription relative - qui est déterminant - était de cinq ans ( art. 70 CP ), tandis que le délai de la prescription absolue était de sept ans et demi ( art. 72 al. 3 CP ). Dès lors que le délai relatif est de cinq ans, il faut constater, à ce stade du raisonnement, qu'il est plus long que le délai de deux ans prévu par le droit civil ( art. 83 al. 1 LCR ) et qu'il est donc en principe applicable. Par la suite, l' art. 70 CP a été modifié par une loi du 5 octobre 2001, entrée en vigueur le 1 er octobre 2002 (RO 2002 2993). Désormais, le droit pénal ne fait plus de distinction entre la prescription relative et la prescription absolue; le délai de prescription (unique) pour les deux infractions en cause est de sept ans (art. 70 révisé CP). Par une loi du 13 décembre 2002 entrée en vigueur le 1 er janvier 2007 (RO 2006 3459), une nouvelle partie générale du code pénal a été adoptée. Les deux infractions en cause sont désormais passibles d'une peine privative de liberté de trois ans au plus ou d'une peine BGE 137 III 481 S. 486 pécuniaire (cf. art. 117 et 125 CP ). Il en résulte que le délai de prescription (unique) est de sept ans ( art. 97 al. 1 let . c CP). On voit donc que la teneur du droit pénal a été modifiée depuis l'accident. Dans une telle situation, c'est à la lumière des règles du droit pénal qu'il faut déterminer la version qui doit être retenue pour fixer la durée de la prescription pénale applicable au civil (cf. ATF 132 III 661 consid. 4.3 p. 666). En vertu du principe de la lex mitior ( art. 2 CP ), repris désormais expressément pour le problème de la prescription par le nouvel art. 389 al. 1 CP , il convient d'appliquer, pour la question en cause, la loi la plus favorable au responsable. S'agissant du délai relatif qui est déterminant, il est évident que le délai de cinq ans prévu par l'ancien droit est plus favorable que le nouveau délai fixé à sept ans.</w:t>
      </w:r>
    </w:p>
    <w:p>
      <w:r>
        <w:rPr>
          <w:b/>
        </w:rPr>
        <w:t>E. 2.7</w:t>
      </w:r>
    </w:p>
    <w:p>
      <w:r>
        <w:t>A considérer ce qui vient d'être dit, le cas d'espèce doit être résolu de la façon suivante. L'accident (donc les infractions en cause) est survenu le 5 février 1998. La prescription pénale absolue a été atteinte, selon l'ancien droit (sept ans et demi), le 5 août 2005 et, selon le nouveau droit (sept ans), le 5 février 2005. Il a été constaté en fait - d'une manière qui lie le Tribunal fédéral ( art. 105 al. 1 LTF ) - que l'assureur a versé divers acomptes dès le 20 mars 2001, dont un le 10 novembre 2004. Ce fait est donc antérieur au moment où la prescription absolue a été atteinte. Le versement d'un acompte est incontestablement interruptif de la prescription ( art. 135 ch. 1 CO ). Dès lors que l'interruption est intervenue avant que la prescription absolue ne soit atteinte, c'est un nouveau délai pénal plus long (cinq ans au lieu de deux ans) qui a commencé à courir. A compter du 10 novembre 2004, ce délai a expiré le 10 novembre 2009. En conséquence, la demande déposée le 24 août 2009 - qui a interrompu la prescription ( art. 138 al. 1 CO ) - est intervenue à un moment où l'action n'était pas prescrite. Partant, il faut constater, par substitution de motifs, que c'est à juste titre que le moyen tiré de la prescription a été écarté. La décision attaquée, dans son résultat, ne viole pas le droit fédéral et le recours doit être rejeté.</w:t>
      </w:r>
    </w:p>
    <w:p>
      <w:r>
        <w:rPr>
          <w:b/>
        </w:rPr>
        <w:t>E. 2.8</w:t>
      </w:r>
    </w:p>
    <w:p>
      <w:r>
        <w:t>Il n'est pas nécessaire de se pencher sur l'argumentation retenue par la cour cantonale. Sachant que la renonciation à la prescription est souvent demandée dans l'urgence et que la question de la prescription est parfois complexe, on ne voit pas pourquoi la formule BGE 137 III 481 S. 487 selon laquelle la renonciation n'intervient qu'à la condition que la prescription ne soit pas déjà acquise serait dépourvue de sens et d'effet juridique. Qu'un assureur paie des acomptes ou renonce pendant un certain temps à se prévaloir de la prescription n'implique nullement qu'il renonce définitivement à faire valoir un tel moyen dans l'avenir, de sorte que l'on ne parvient pas à discerner en quoi l'assureur aurait agi en la matière contrairement aux règles de la bonne foi.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